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B12640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1C25A6">
        <w:t xml:space="preserve"> </w:t>
      </w:r>
      <w:r w:rsidR="00230ABF">
        <w:t>ah-1901</w:t>
      </w:r>
      <w:r w:rsidRPr="00CE0424">
        <w:tab/>
      </w:r>
      <w:r w:rsidR="00AD5C7E" w:rsidRPr="00AD5C7E">
        <w:t>R1-1901229</w:t>
      </w:r>
    </w:p>
    <w:p w14:paraId="51C3D3E7" w14:textId="1ED0E86C" w:rsidR="00E90E49" w:rsidRPr="00230ABF" w:rsidRDefault="00230ABF" w:rsidP="00311702">
      <w:pPr>
        <w:pStyle w:val="3GPPHeader"/>
      </w:pPr>
      <w:r>
        <w:t>Taipei, Taiwan</w:t>
      </w:r>
      <w:r w:rsidR="00486F1D">
        <w:t xml:space="preserve">, </w:t>
      </w:r>
      <w:r>
        <w:t>January</w:t>
      </w:r>
      <w:r w:rsidR="00CE0BF7" w:rsidRPr="00CE0BF7">
        <w:t xml:space="preserve"> </w:t>
      </w:r>
      <w:r>
        <w:t>21</w:t>
      </w:r>
      <w:r>
        <w:rPr>
          <w:vertAlign w:val="superscript"/>
        </w:rPr>
        <w:t>st</w:t>
      </w:r>
      <w:r>
        <w:t xml:space="preserve"> </w:t>
      </w:r>
      <w:r w:rsidR="00CE0BF7" w:rsidRPr="00CE0BF7">
        <w:t xml:space="preserve">– </w:t>
      </w:r>
      <w:r>
        <w:t>25</w:t>
      </w:r>
      <w:r w:rsidR="00CE0BF7" w:rsidRPr="00CE0BF7">
        <w:rPr>
          <w:vertAlign w:val="superscript"/>
        </w:rPr>
        <w:t>th</w:t>
      </w:r>
      <w:r w:rsidR="00C37CB2" w:rsidRPr="00CE0BF7">
        <w:t xml:space="preserve"> </w:t>
      </w:r>
      <w:r w:rsidR="0027144F" w:rsidRPr="00CE0BF7">
        <w:t>20</w:t>
      </w:r>
      <w:r w:rsidR="005F3025" w:rsidRPr="00CE0BF7">
        <w:t>1</w:t>
      </w:r>
      <w:r>
        <w:t>9</w:t>
      </w:r>
    </w:p>
    <w:p w14:paraId="60A5317D" w14:textId="77777777" w:rsidR="00E90E49" w:rsidRPr="00CE0424" w:rsidRDefault="00E90E49" w:rsidP="00357380">
      <w:pPr>
        <w:pStyle w:val="3GPPHeader"/>
      </w:pPr>
    </w:p>
    <w:p w14:paraId="3C6869D1" w14:textId="5B952103" w:rsidR="00E90E49" w:rsidRPr="008E5F34" w:rsidRDefault="00E90E49" w:rsidP="00311702">
      <w:pPr>
        <w:pStyle w:val="3GPPHeader"/>
        <w:rPr>
          <w:sz w:val="22"/>
          <w:szCs w:val="22"/>
          <w:lang w:val="en-US"/>
        </w:rPr>
      </w:pPr>
      <w:r w:rsidRPr="008E5F34">
        <w:rPr>
          <w:sz w:val="22"/>
          <w:szCs w:val="22"/>
          <w:lang w:val="en-US"/>
        </w:rPr>
        <w:t>Agenda Item:</w:t>
      </w:r>
      <w:r w:rsidRPr="008E5F34">
        <w:rPr>
          <w:sz w:val="22"/>
          <w:szCs w:val="22"/>
          <w:lang w:val="en-US"/>
        </w:rPr>
        <w:tab/>
      </w:r>
      <w:r w:rsidR="00872183" w:rsidRPr="008E5F34">
        <w:rPr>
          <w:sz w:val="22"/>
          <w:szCs w:val="22"/>
          <w:lang w:val="en-US"/>
        </w:rPr>
        <w:t>7.2.4.6</w:t>
      </w:r>
    </w:p>
    <w:p w14:paraId="0CB055DD" w14:textId="77777777" w:rsidR="00E90E49" w:rsidRPr="008E5F3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w:t>
      </w:r>
      <w:r w:rsidR="00F64C2B" w:rsidRPr="008E5F34">
        <w:rPr>
          <w:sz w:val="22"/>
          <w:szCs w:val="22"/>
        </w:rPr>
        <w:t>on</w:t>
      </w:r>
    </w:p>
    <w:p w14:paraId="63DAB814" w14:textId="11638D5E" w:rsidR="00E90E49" w:rsidRPr="008E5F34" w:rsidRDefault="003D3C45" w:rsidP="00311702">
      <w:pPr>
        <w:pStyle w:val="3GPPHeader"/>
        <w:rPr>
          <w:sz w:val="22"/>
          <w:szCs w:val="22"/>
        </w:rPr>
      </w:pPr>
      <w:r w:rsidRPr="008E5F34">
        <w:rPr>
          <w:sz w:val="22"/>
          <w:szCs w:val="22"/>
        </w:rPr>
        <w:t>Title:</w:t>
      </w:r>
      <w:r w:rsidR="00E90E49" w:rsidRPr="008E5F34">
        <w:rPr>
          <w:sz w:val="22"/>
          <w:szCs w:val="22"/>
        </w:rPr>
        <w:tab/>
      </w:r>
      <w:r w:rsidR="00247CC9" w:rsidRPr="008E5F34">
        <w:rPr>
          <w:sz w:val="22"/>
          <w:szCs w:val="22"/>
        </w:rPr>
        <w:t>Design of patterns for sidelink transmission</w:t>
      </w:r>
    </w:p>
    <w:p w14:paraId="58D4CB54" w14:textId="77777777" w:rsidR="00E90E49" w:rsidRPr="00CE0424" w:rsidRDefault="00E90E49" w:rsidP="00D546FF">
      <w:pPr>
        <w:pStyle w:val="3GPPHeader"/>
        <w:rPr>
          <w:sz w:val="22"/>
          <w:szCs w:val="22"/>
        </w:rPr>
      </w:pPr>
      <w:r w:rsidRPr="008E5F34">
        <w:rPr>
          <w:sz w:val="22"/>
          <w:szCs w:val="22"/>
        </w:rPr>
        <w:t>Document for:</w:t>
      </w:r>
      <w:r w:rsidRPr="008E5F34">
        <w:rPr>
          <w:sz w:val="22"/>
          <w:szCs w:val="22"/>
        </w:rPr>
        <w:tab/>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2A6623A8" w:rsidR="00477768" w:rsidRPr="00CE0424" w:rsidRDefault="00735454" w:rsidP="00CE0424">
      <w:pPr>
        <w:pStyle w:val="BodyText"/>
      </w:pPr>
      <w:r>
        <w:t>In this paper we present our views on the design of patterns for sidelink transmission.</w:t>
      </w:r>
    </w:p>
    <w:p w14:paraId="020415C4" w14:textId="2B72ACF0" w:rsidR="004000E8" w:rsidRDefault="00230D18" w:rsidP="00CE0424">
      <w:pPr>
        <w:pStyle w:val="Heading1"/>
      </w:pPr>
      <w:bookmarkStart w:id="0" w:name="_Ref178064866"/>
      <w:r>
        <w:t>2</w:t>
      </w:r>
      <w:r>
        <w:tab/>
      </w:r>
      <w:r w:rsidR="004000E8" w:rsidRPr="00CE0424">
        <w:t>Discussion</w:t>
      </w:r>
      <w:bookmarkEnd w:id="0"/>
    </w:p>
    <w:p w14:paraId="7DAB75B0" w14:textId="51048544" w:rsidR="00440526" w:rsidRDefault="00735454" w:rsidP="00735454">
      <w:pPr>
        <w:pStyle w:val="BodyText"/>
      </w:pPr>
      <w:r>
        <w:t>In previous meetings, the use of patterns of resources has been discussed. In principle, such patterns may be applied by UEs transmitting over the sidelink</w:t>
      </w:r>
      <w:r w:rsidR="00591C05">
        <w:t xml:space="preserve"> for Mode 1 and Mode 2 (i.e. sub-mode 2c). </w:t>
      </w:r>
      <w:r w:rsidR="006C2488">
        <w:t>Indeed,</w:t>
      </w:r>
      <w:r w:rsidR="00591C05">
        <w:t xml:space="preserve"> the difference between operation in Mode 1 and Mode 2c has been questioned multiple times.</w:t>
      </w:r>
      <w:r w:rsidR="00440526">
        <w:t xml:space="preserve"> In the following, we present </w:t>
      </w:r>
      <w:r w:rsidR="000321B6">
        <w:t xml:space="preserve">our design and discuss some important aspects. For the case of Mode 2c, evaluation results are presented in </w:t>
      </w:r>
      <w:r w:rsidR="000321B6">
        <w:fldChar w:fldCharType="begin"/>
      </w:r>
      <w:r w:rsidR="000321B6">
        <w:instrText xml:space="preserve"> REF _Ref534203877 \r \h </w:instrText>
      </w:r>
      <w:r w:rsidR="000321B6">
        <w:fldChar w:fldCharType="separate"/>
      </w:r>
      <w:r w:rsidR="00CC1E99">
        <w:t>[1]</w:t>
      </w:r>
      <w:r w:rsidR="000321B6">
        <w:fldChar w:fldCharType="end"/>
      </w:r>
      <w:r w:rsidR="000321B6">
        <w:t>.</w:t>
      </w:r>
    </w:p>
    <w:p w14:paraId="1A0F276B" w14:textId="029D918F" w:rsidR="00662D1C" w:rsidRDefault="00662D1C" w:rsidP="00662D1C">
      <w:pPr>
        <w:pStyle w:val="Heading2"/>
      </w:pPr>
      <w:r>
        <w:t>2.1</w:t>
      </w:r>
      <w:r>
        <w:tab/>
        <w:t>Design o</w:t>
      </w:r>
      <w:bookmarkStart w:id="1" w:name="_GoBack"/>
      <w:bookmarkEnd w:id="1"/>
      <w:r>
        <w:t>f patterns</w:t>
      </w:r>
    </w:p>
    <w:p w14:paraId="17C2A20F" w14:textId="1F0A42E5" w:rsidR="00FC0DAA" w:rsidRDefault="00471E8F" w:rsidP="00471E8F">
      <w:pPr>
        <w:pStyle w:val="BodyText"/>
      </w:pPr>
      <w:r>
        <w:t>A pattern is a set of time-frequency resources that repeat periodically in time. A pattern has</w:t>
      </w:r>
      <w:r w:rsidR="00180426">
        <w:t xml:space="preserve"> the following parameters</w:t>
      </w:r>
      <w:r w:rsidR="00FC0DAA">
        <w:t>:</w:t>
      </w:r>
    </w:p>
    <w:p w14:paraId="20CFE282" w14:textId="77777777" w:rsidR="00FC0DAA" w:rsidRDefault="00FC0DAA" w:rsidP="00FC0DAA">
      <w:pPr>
        <w:pStyle w:val="BodyText"/>
        <w:numPr>
          <w:ilvl w:val="0"/>
          <w:numId w:val="23"/>
        </w:numPr>
      </w:pPr>
      <w:r>
        <w:t>The pattern length (in number of slots): L.</w:t>
      </w:r>
    </w:p>
    <w:p w14:paraId="62314C86" w14:textId="03204536" w:rsidR="00FC0DAA" w:rsidRDefault="00FC0DAA" w:rsidP="00FC0DAA">
      <w:pPr>
        <w:pStyle w:val="BodyText"/>
        <w:numPr>
          <w:ilvl w:val="0"/>
          <w:numId w:val="23"/>
        </w:numPr>
      </w:pPr>
      <w:r>
        <w:t>The number of resources for transmission in a pattern: R.</w:t>
      </w:r>
    </w:p>
    <w:p w14:paraId="18518C78" w14:textId="77777777" w:rsidR="00FC0DAA" w:rsidRDefault="00FC0DAA" w:rsidP="00FC0DAA">
      <w:pPr>
        <w:pStyle w:val="BodyText"/>
        <w:numPr>
          <w:ilvl w:val="0"/>
          <w:numId w:val="23"/>
        </w:numPr>
      </w:pPr>
      <w:r>
        <w:t>The number of (contiguous) sub-bands in each resource: B</w:t>
      </w:r>
    </w:p>
    <w:p w14:paraId="0B869EA1" w14:textId="1626D667" w:rsidR="00FC0DAA" w:rsidRDefault="00FC0DAA" w:rsidP="00FC0DAA">
      <w:pPr>
        <w:pStyle w:val="BodyText"/>
        <w:numPr>
          <w:ilvl w:val="0"/>
          <w:numId w:val="23"/>
        </w:numPr>
      </w:pPr>
      <w:r>
        <w:t>The number of consecutive slots in each resource: S</w:t>
      </w:r>
    </w:p>
    <w:p w14:paraId="6AFBF07A" w14:textId="080BE949" w:rsidR="00506EF3" w:rsidRDefault="00506EF3" w:rsidP="00506EF3">
      <w:pPr>
        <w:pStyle w:val="BodyText"/>
      </w:pPr>
      <w:r>
        <w:t>Pattern</w:t>
      </w:r>
      <w:r w:rsidR="00077E4D">
        <w:t>s</w:t>
      </w:r>
      <w:r>
        <w:t xml:space="preserve"> are repeated over time with </w:t>
      </w:r>
      <w:r w:rsidR="00470DE3">
        <w:t xml:space="preserve">each </w:t>
      </w:r>
      <w:r>
        <w:t xml:space="preserve">period </w:t>
      </w:r>
      <w:r w:rsidR="00470DE3">
        <w:t>cons</w:t>
      </w:r>
      <w:r w:rsidR="00351C37">
        <w:t>ist</w:t>
      </w:r>
      <w:r w:rsidR="00145AB5">
        <w:t>ing</w:t>
      </w:r>
      <w:r w:rsidR="00351C37">
        <w:t xml:space="preserve"> </w:t>
      </w:r>
      <w:r w:rsidR="00470DE3">
        <w:t xml:space="preserve">of </w:t>
      </w:r>
      <w:r>
        <w:t xml:space="preserve">L </w:t>
      </w:r>
      <w:r w:rsidR="00470DE3">
        <w:t xml:space="preserve">consecutive slots, </w:t>
      </w:r>
      <w:r>
        <w:t>with the assumption that there is a common start time for all patterns (e.g., SFN 0).</w:t>
      </w:r>
    </w:p>
    <w:p w14:paraId="1A848001" w14:textId="24E4C209" w:rsidR="00726857" w:rsidRDefault="00E5754F" w:rsidP="00E5754F">
      <w:pPr>
        <w:pStyle w:val="BodyText"/>
      </w:pPr>
      <w:r>
        <w:t>Time resources in patterns are selected to minimize the effect</w:t>
      </w:r>
      <w:r w:rsidR="00726857">
        <w:t xml:space="preserve"> of hal</w:t>
      </w:r>
      <w:r w:rsidR="0093482F">
        <w:t>f-</w:t>
      </w:r>
      <w:r w:rsidR="00726857">
        <w:t>duplex constraints. For this reason, any pair of patterns should differ at least in (all) the resources used for one transmission.</w:t>
      </w:r>
    </w:p>
    <w:p w14:paraId="4D794A59" w14:textId="736AF7CA" w:rsidR="00745D0F" w:rsidRDefault="00745D0F" w:rsidP="00726857">
      <w:pPr>
        <w:pStyle w:val="BodyText"/>
      </w:pPr>
      <w:r>
        <w:t>Frequency resources in patterns are selected to minimize the probability of collision and to increase system capacity. Note however, that all frequency resources are affected by half-duplex constraints in the same way.</w:t>
      </w:r>
    </w:p>
    <w:p w14:paraId="69B0ED2D" w14:textId="558F7332" w:rsidR="00B119A2" w:rsidRDefault="00B119A2" w:rsidP="00726857">
      <w:pPr>
        <w:pStyle w:val="BodyText"/>
      </w:pPr>
      <w:r>
        <w:t xml:space="preserve">We illustrate two sets of patterns in </w:t>
      </w:r>
      <w:r>
        <w:fldChar w:fldCharType="begin"/>
      </w:r>
      <w:r>
        <w:instrText xml:space="preserve"> REF _Ref534390831 \h </w:instrText>
      </w:r>
      <w:r>
        <w:fldChar w:fldCharType="separate"/>
      </w:r>
      <w:r w:rsidR="00CC1E99">
        <w:t xml:space="preserve">Figure </w:t>
      </w:r>
      <w:r w:rsidR="00CC1E99">
        <w:rPr>
          <w:noProof/>
        </w:rPr>
        <w:t>1</w:t>
      </w:r>
      <w:r>
        <w:fldChar w:fldCharType="end"/>
      </w:r>
      <w:r>
        <w:t xml:space="preserve"> and </w:t>
      </w:r>
      <w:r>
        <w:fldChar w:fldCharType="begin"/>
      </w:r>
      <w:r>
        <w:instrText xml:space="preserve"> REF _Ref534390833 \h </w:instrText>
      </w:r>
      <w:r>
        <w:fldChar w:fldCharType="separate"/>
      </w:r>
      <w:r w:rsidR="00CC1E99">
        <w:t xml:space="preserve">Figure </w:t>
      </w:r>
      <w:r w:rsidR="00CC1E99">
        <w:rPr>
          <w:noProof/>
        </w:rPr>
        <w:t>2</w:t>
      </w:r>
      <w:r>
        <w:fldChar w:fldCharType="end"/>
      </w:r>
      <w:r>
        <w:t>.</w:t>
      </w:r>
    </w:p>
    <w:p w14:paraId="7DF8B44D" w14:textId="77777777" w:rsidR="00B119A2" w:rsidRDefault="00B119A2" w:rsidP="00B119A2">
      <w:pPr>
        <w:pStyle w:val="BodyText"/>
        <w:keepNext/>
        <w:jc w:val="center"/>
      </w:pPr>
      <w:r>
        <w:rPr>
          <w:noProof/>
        </w:rPr>
        <w:lastRenderedPageBreak/>
        <w:drawing>
          <wp:inline distT="0" distB="0" distL="0" distR="0" wp14:anchorId="48F97ADC" wp14:editId="25EB1873">
            <wp:extent cx="1816735" cy="3596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6735" cy="3596640"/>
                    </a:xfrm>
                    <a:prstGeom prst="rect">
                      <a:avLst/>
                    </a:prstGeom>
                    <a:noFill/>
                  </pic:spPr>
                </pic:pic>
              </a:graphicData>
            </a:graphic>
          </wp:inline>
        </w:drawing>
      </w:r>
    </w:p>
    <w:p w14:paraId="4929F093" w14:textId="67706E85" w:rsidR="00B119A2" w:rsidRDefault="00B119A2" w:rsidP="00B119A2">
      <w:pPr>
        <w:pStyle w:val="Caption"/>
        <w:jc w:val="center"/>
      </w:pPr>
      <w:bookmarkStart w:id="2" w:name="_Ref534390831"/>
      <w:r>
        <w:t xml:space="preserve">Figure </w:t>
      </w:r>
      <w:r w:rsidR="00B16987">
        <w:fldChar w:fldCharType="begin"/>
      </w:r>
      <w:r w:rsidR="00B16987">
        <w:instrText xml:space="preserve"> SEQ Figure \* ARABIC </w:instrText>
      </w:r>
      <w:r w:rsidR="00B16987">
        <w:fldChar w:fldCharType="separate"/>
      </w:r>
      <w:r w:rsidR="00CC1E99">
        <w:rPr>
          <w:noProof/>
        </w:rPr>
        <w:t>1</w:t>
      </w:r>
      <w:r w:rsidR="00B16987">
        <w:rPr>
          <w:noProof/>
        </w:rPr>
        <w:fldChar w:fldCharType="end"/>
      </w:r>
      <w:bookmarkEnd w:id="2"/>
      <w:r w:rsidR="0093202E">
        <w:t>. A set of patterns with L=5,</w:t>
      </w:r>
      <w:r w:rsidR="00180426">
        <w:t xml:space="preserve"> R=2, and S=1</w:t>
      </w:r>
      <w:r w:rsidR="0093202E">
        <w:t>. The sub-band dimension is not illustrated here.</w:t>
      </w:r>
    </w:p>
    <w:p w14:paraId="68FF01F4" w14:textId="77777777" w:rsidR="00B119A2" w:rsidRDefault="00B119A2" w:rsidP="00B119A2">
      <w:pPr>
        <w:pStyle w:val="BodyText"/>
        <w:keepNext/>
        <w:jc w:val="center"/>
      </w:pPr>
      <w:r>
        <w:rPr>
          <w:noProof/>
        </w:rPr>
        <w:drawing>
          <wp:inline distT="0" distB="0" distL="0" distR="0" wp14:anchorId="4715B50A" wp14:editId="26CF227E">
            <wp:extent cx="3615055" cy="360299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5055" cy="3602990"/>
                    </a:xfrm>
                    <a:prstGeom prst="rect">
                      <a:avLst/>
                    </a:prstGeom>
                    <a:noFill/>
                  </pic:spPr>
                </pic:pic>
              </a:graphicData>
            </a:graphic>
          </wp:inline>
        </w:drawing>
      </w:r>
    </w:p>
    <w:p w14:paraId="1216A1E9" w14:textId="62BDE106" w:rsidR="0093202E" w:rsidRDefault="00B119A2" w:rsidP="0093202E">
      <w:pPr>
        <w:pStyle w:val="Caption"/>
        <w:jc w:val="center"/>
      </w:pPr>
      <w:bookmarkStart w:id="3" w:name="_Ref534390833"/>
      <w:r>
        <w:t xml:space="preserve">Figure </w:t>
      </w:r>
      <w:r w:rsidR="00B16987">
        <w:fldChar w:fldCharType="begin"/>
      </w:r>
      <w:r w:rsidR="00B16987">
        <w:instrText xml:space="preserve"> SEQ Figure \* ARABIC </w:instrText>
      </w:r>
      <w:r w:rsidR="00B16987">
        <w:fldChar w:fldCharType="separate"/>
      </w:r>
      <w:r w:rsidR="00CC1E99">
        <w:rPr>
          <w:noProof/>
        </w:rPr>
        <w:t>2</w:t>
      </w:r>
      <w:r w:rsidR="00B16987">
        <w:rPr>
          <w:noProof/>
        </w:rPr>
        <w:fldChar w:fldCharType="end"/>
      </w:r>
      <w:bookmarkEnd w:id="3"/>
      <w:r w:rsidR="0093202E">
        <w:t>. A set of patterns with</w:t>
      </w:r>
      <w:r w:rsidR="007420B3">
        <w:t xml:space="preserve"> L=10</w:t>
      </w:r>
      <w:r w:rsidR="0093202E">
        <w:t>, R=2, and S=2. The sub-band dimension is not illustrated here.</w:t>
      </w:r>
    </w:p>
    <w:p w14:paraId="19FAE395" w14:textId="4733321F" w:rsidR="00B119A2" w:rsidRPr="0093202E" w:rsidRDefault="00B119A2" w:rsidP="00B119A2">
      <w:pPr>
        <w:pStyle w:val="Caption"/>
        <w:jc w:val="center"/>
        <w:rPr>
          <w:lang w:val="en-US"/>
        </w:rPr>
      </w:pPr>
    </w:p>
    <w:p w14:paraId="3D018283" w14:textId="77777777" w:rsidR="00B119A2" w:rsidRDefault="00B119A2" w:rsidP="00726857">
      <w:pPr>
        <w:pStyle w:val="BodyText"/>
      </w:pPr>
    </w:p>
    <w:p w14:paraId="073C2C15" w14:textId="31C899A1" w:rsidR="00662D1C" w:rsidRPr="00662D1C" w:rsidRDefault="00662D1C" w:rsidP="00662D1C">
      <w:pPr>
        <w:pStyle w:val="Heading2"/>
      </w:pPr>
      <w:r>
        <w:lastRenderedPageBreak/>
        <w:t>2.2</w:t>
      </w:r>
      <w:r>
        <w:tab/>
        <w:t>Use of patterns for transmission</w:t>
      </w:r>
    </w:p>
    <w:p w14:paraId="5B3146BD" w14:textId="2D0CE652" w:rsidR="00506EF3" w:rsidRDefault="008A12BB" w:rsidP="008A12BB">
      <w:pPr>
        <w:pStyle w:val="BodyText"/>
      </w:pPr>
      <w:r>
        <w:t xml:space="preserve">A TB </w:t>
      </w:r>
      <w:r w:rsidR="00FC0DAA">
        <w:t xml:space="preserve">is transmitted using the resources indicated by a period of the pattern. </w:t>
      </w:r>
      <w:r w:rsidR="00506EF3">
        <w:t>This may be performed in two different ways:</w:t>
      </w:r>
    </w:p>
    <w:p w14:paraId="3E1EE363" w14:textId="1E555D2D" w:rsidR="003D6EB4" w:rsidRDefault="00662D1C" w:rsidP="00506EF3">
      <w:pPr>
        <w:pStyle w:val="BodyText"/>
        <w:numPr>
          <w:ilvl w:val="0"/>
          <w:numId w:val="24"/>
        </w:numPr>
      </w:pPr>
      <w:r>
        <w:t xml:space="preserve">Synchronous </w:t>
      </w:r>
      <w:r w:rsidR="00506EF3">
        <w:t>transmissions</w:t>
      </w:r>
      <w:r w:rsidR="003D6EB4">
        <w:t>. In this case, th</w:t>
      </w:r>
      <w:r w:rsidR="00506EF3">
        <w:t>e transmitting UE uses resources belonging to a single period of the pattern. This implies that the</w:t>
      </w:r>
      <w:r w:rsidR="003D6EB4">
        <w:t xml:space="preserve"> UE may be required to wait until the start of the next period before starting to transmit. </w:t>
      </w:r>
    </w:p>
    <w:p w14:paraId="67490F3F" w14:textId="7998E0CB" w:rsidR="00506EF3" w:rsidRDefault="00506EF3" w:rsidP="00662D1C">
      <w:pPr>
        <w:pStyle w:val="BodyText"/>
        <w:numPr>
          <w:ilvl w:val="0"/>
          <w:numId w:val="24"/>
        </w:numPr>
      </w:pPr>
      <w:r>
        <w:t>Asynchronous transmissions. In this case, the UE starts transmitting with in the first resource belonging to the pattern, even if it does not correspond to the first resource in the period. Consequently, the transmission may use resources from up to two periods. However, the total number of resources is still limited to R.</w:t>
      </w:r>
    </w:p>
    <w:p w14:paraId="78F4C761" w14:textId="64B15850" w:rsidR="00BB4A33" w:rsidRDefault="00BB4A33" w:rsidP="00BB4A33">
      <w:pPr>
        <w:pStyle w:val="BodyText"/>
      </w:pPr>
      <w:r>
        <w:t xml:space="preserve">In </w:t>
      </w:r>
      <w:r>
        <w:fldChar w:fldCharType="begin"/>
      </w:r>
      <w:r>
        <w:instrText xml:space="preserve"> REF _Ref534395016 \h </w:instrText>
      </w:r>
      <w:r>
        <w:fldChar w:fldCharType="separate"/>
      </w:r>
      <w:r w:rsidR="00CC1E99">
        <w:t xml:space="preserve">Figure </w:t>
      </w:r>
      <w:r w:rsidR="00CC1E99">
        <w:rPr>
          <w:noProof/>
        </w:rPr>
        <w:t>3</w:t>
      </w:r>
      <w:r>
        <w:fldChar w:fldCharType="end"/>
      </w:r>
      <w:r>
        <w:t xml:space="preserve"> and </w:t>
      </w:r>
      <w:r>
        <w:fldChar w:fldCharType="begin"/>
      </w:r>
      <w:r>
        <w:instrText xml:space="preserve"> REF _Ref534395020 \h </w:instrText>
      </w:r>
      <w:r>
        <w:fldChar w:fldCharType="separate"/>
      </w:r>
      <w:r w:rsidR="00CC1E99">
        <w:t xml:space="preserve">Figure </w:t>
      </w:r>
      <w:r w:rsidR="00CC1E99">
        <w:rPr>
          <w:noProof/>
        </w:rPr>
        <w:t>4</w:t>
      </w:r>
      <w:r>
        <w:fldChar w:fldCharType="end"/>
      </w:r>
      <w:r>
        <w:t xml:space="preserve"> we illustrate the use of three patterns (take from those in </w:t>
      </w:r>
      <w:r>
        <w:fldChar w:fldCharType="begin"/>
      </w:r>
      <w:r>
        <w:instrText xml:space="preserve"> REF _Ref534390831 \h </w:instrText>
      </w:r>
      <w:r>
        <w:fldChar w:fldCharType="separate"/>
      </w:r>
      <w:r w:rsidR="00CC1E99">
        <w:t xml:space="preserve">Figure </w:t>
      </w:r>
      <w:r w:rsidR="00CC1E99">
        <w:rPr>
          <w:noProof/>
        </w:rPr>
        <w:t>1</w:t>
      </w:r>
      <w:r>
        <w:fldChar w:fldCharType="end"/>
      </w:r>
      <w:r>
        <w:t>) with synchronous and asynchronous transmissions, respectively. In the first case (</w:t>
      </w:r>
      <w:r>
        <w:fldChar w:fldCharType="begin"/>
      </w:r>
      <w:r>
        <w:instrText xml:space="preserve"> REF _Ref534395016 \h </w:instrText>
      </w:r>
      <w:r>
        <w:fldChar w:fldCharType="separate"/>
      </w:r>
      <w:r w:rsidR="00CC1E99">
        <w:t xml:space="preserve">Figure </w:t>
      </w:r>
      <w:r w:rsidR="00CC1E99">
        <w:rPr>
          <w:noProof/>
        </w:rPr>
        <w:t>3</w:t>
      </w:r>
      <w:r>
        <w:fldChar w:fldCharType="end"/>
      </w:r>
      <w:r>
        <w:rPr>
          <w:lang w:val="en-US"/>
        </w:rPr>
        <w:t>)</w:t>
      </w:r>
      <w:r>
        <w:t>, the packet arrives after one or more resources of the red and yellow patterns have passed. Thus, it is necessary to wait until the start of a new period to use the resources in the pattern. In contrast, the black pattern may be used without waiting for the start of a new period. For the asynchronous case (</w:t>
      </w:r>
      <w:r>
        <w:fldChar w:fldCharType="begin"/>
      </w:r>
      <w:r>
        <w:instrText xml:space="preserve"> REF _Ref534395020 \h </w:instrText>
      </w:r>
      <w:r>
        <w:fldChar w:fldCharType="separate"/>
      </w:r>
      <w:r w:rsidR="00CC1E99">
        <w:t xml:space="preserve">Figure </w:t>
      </w:r>
      <w:r w:rsidR="00CC1E99">
        <w:rPr>
          <w:noProof/>
        </w:rPr>
        <w:t>4</w:t>
      </w:r>
      <w:r>
        <w:fldChar w:fldCharType="end"/>
      </w:r>
      <w:r>
        <w:t>), the first resource in the pattern may be used in all cases, without waiting for the start a new period. No</w:t>
      </w:r>
      <w:r w:rsidR="007D0282">
        <w:t>te that that the total number of transmissions is still R=2.</w:t>
      </w:r>
    </w:p>
    <w:p w14:paraId="417B0AA8" w14:textId="233AAE59" w:rsidR="00BB4A33" w:rsidRDefault="00BB4A33" w:rsidP="00BB4A33">
      <w:pPr>
        <w:pStyle w:val="BodyText"/>
        <w:keepNext/>
        <w:jc w:val="center"/>
      </w:pPr>
    </w:p>
    <w:p w14:paraId="6427D6F2" w14:textId="7BA184C4" w:rsidR="00BB4A33" w:rsidRDefault="00BB4A33" w:rsidP="00BB4A33">
      <w:pPr>
        <w:pStyle w:val="BodyText"/>
        <w:keepNext/>
        <w:jc w:val="center"/>
      </w:pPr>
      <w:r>
        <w:rPr>
          <w:noProof/>
        </w:rPr>
        <w:drawing>
          <wp:inline distT="0" distB="0" distL="0" distR="0" wp14:anchorId="7E6F471D" wp14:editId="0E0823BE">
            <wp:extent cx="3871595" cy="2097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71595" cy="2097405"/>
                    </a:xfrm>
                    <a:prstGeom prst="rect">
                      <a:avLst/>
                    </a:prstGeom>
                    <a:noFill/>
                  </pic:spPr>
                </pic:pic>
              </a:graphicData>
            </a:graphic>
          </wp:inline>
        </w:drawing>
      </w:r>
    </w:p>
    <w:p w14:paraId="71B03E5F" w14:textId="7AA62BFC" w:rsidR="00841A07" w:rsidRPr="007D0282" w:rsidRDefault="00BB4A33" w:rsidP="00BB4A33">
      <w:pPr>
        <w:pStyle w:val="Caption"/>
        <w:jc w:val="center"/>
        <w:rPr>
          <w:lang w:val="en-US"/>
        </w:rPr>
      </w:pPr>
      <w:bookmarkStart w:id="4" w:name="_Ref534395016"/>
      <w:r>
        <w:t xml:space="preserve">Figure </w:t>
      </w:r>
      <w:r w:rsidR="00B16987">
        <w:fldChar w:fldCharType="begin"/>
      </w:r>
      <w:r w:rsidR="00B16987">
        <w:instrText xml:space="preserve"> SEQ Figure \* ARABIC </w:instrText>
      </w:r>
      <w:r w:rsidR="00B16987">
        <w:fldChar w:fldCharType="separate"/>
      </w:r>
      <w:r w:rsidR="00CC1E99">
        <w:rPr>
          <w:noProof/>
        </w:rPr>
        <w:t>3</w:t>
      </w:r>
      <w:r w:rsidR="00B16987">
        <w:rPr>
          <w:noProof/>
        </w:rPr>
        <w:fldChar w:fldCharType="end"/>
      </w:r>
      <w:bookmarkEnd w:id="4"/>
      <w:r w:rsidR="007D0282">
        <w:t xml:space="preserve">. Synchronous use of three patterns from </w:t>
      </w:r>
      <w:r w:rsidR="007D0282">
        <w:fldChar w:fldCharType="begin"/>
      </w:r>
      <w:r w:rsidR="007D0282">
        <w:instrText xml:space="preserve"> REF _Ref534390831 \h </w:instrText>
      </w:r>
      <w:r w:rsidR="007D0282">
        <w:fldChar w:fldCharType="separate"/>
      </w:r>
      <w:r w:rsidR="00CC1E99">
        <w:t xml:space="preserve">Figure </w:t>
      </w:r>
      <w:r w:rsidR="00CC1E99">
        <w:rPr>
          <w:noProof/>
        </w:rPr>
        <w:t>1</w:t>
      </w:r>
      <w:r w:rsidR="007D0282">
        <w:fldChar w:fldCharType="end"/>
      </w:r>
      <w:r w:rsidR="007D0282">
        <w:rPr>
          <w:lang w:val="en-US"/>
        </w:rPr>
        <w:t>)</w:t>
      </w:r>
    </w:p>
    <w:p w14:paraId="51BCB3F8" w14:textId="4F5118F2" w:rsidR="00BB4A33" w:rsidRDefault="00BB4A33" w:rsidP="00841A07">
      <w:pPr>
        <w:pStyle w:val="BodyText"/>
        <w:jc w:val="center"/>
      </w:pPr>
    </w:p>
    <w:p w14:paraId="2268FE48" w14:textId="51DFE496" w:rsidR="00BB4A33" w:rsidRDefault="00BB4A33" w:rsidP="00BB4A33">
      <w:pPr>
        <w:pStyle w:val="BodyText"/>
        <w:keepNext/>
        <w:jc w:val="center"/>
      </w:pPr>
      <w:r>
        <w:rPr>
          <w:noProof/>
        </w:rPr>
        <w:drawing>
          <wp:inline distT="0" distB="0" distL="0" distR="0" wp14:anchorId="15513812" wp14:editId="67E0BB64">
            <wp:extent cx="3871595" cy="2084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1595" cy="2084705"/>
                    </a:xfrm>
                    <a:prstGeom prst="rect">
                      <a:avLst/>
                    </a:prstGeom>
                    <a:noFill/>
                  </pic:spPr>
                </pic:pic>
              </a:graphicData>
            </a:graphic>
          </wp:inline>
        </w:drawing>
      </w:r>
    </w:p>
    <w:p w14:paraId="7536CC4F" w14:textId="67E36E68" w:rsidR="00BB4A33" w:rsidRDefault="00BB4A33" w:rsidP="00BB4A33">
      <w:pPr>
        <w:pStyle w:val="Caption"/>
        <w:jc w:val="center"/>
      </w:pPr>
      <w:bookmarkStart w:id="5" w:name="_Ref534395020"/>
      <w:r>
        <w:t xml:space="preserve">Figure </w:t>
      </w:r>
      <w:r w:rsidR="00B16987">
        <w:fldChar w:fldCharType="begin"/>
      </w:r>
      <w:r w:rsidR="00B16987">
        <w:instrText xml:space="preserve"> SEQ Figure \* ARABIC </w:instrText>
      </w:r>
      <w:r w:rsidR="00B16987">
        <w:fldChar w:fldCharType="separate"/>
      </w:r>
      <w:r w:rsidR="00CC1E99">
        <w:rPr>
          <w:noProof/>
        </w:rPr>
        <w:t>4</w:t>
      </w:r>
      <w:r w:rsidR="00B16987">
        <w:rPr>
          <w:noProof/>
        </w:rPr>
        <w:fldChar w:fldCharType="end"/>
      </w:r>
      <w:bookmarkEnd w:id="5"/>
      <w:r w:rsidR="007D0282">
        <w:t xml:space="preserve">. Asynchronous use of three patterns from </w:t>
      </w:r>
      <w:r w:rsidR="007D0282">
        <w:fldChar w:fldCharType="begin"/>
      </w:r>
      <w:r w:rsidR="007D0282">
        <w:instrText xml:space="preserve"> REF _Ref534390831 \h </w:instrText>
      </w:r>
      <w:r w:rsidR="007D0282">
        <w:fldChar w:fldCharType="separate"/>
      </w:r>
      <w:r w:rsidR="00CC1E99">
        <w:t xml:space="preserve">Figure </w:t>
      </w:r>
      <w:r w:rsidR="00CC1E99">
        <w:rPr>
          <w:noProof/>
        </w:rPr>
        <w:t>1</w:t>
      </w:r>
      <w:r w:rsidR="007D0282">
        <w:fldChar w:fldCharType="end"/>
      </w:r>
      <w:r w:rsidR="007D0282">
        <w:rPr>
          <w:lang w:val="en-US"/>
        </w:rPr>
        <w:t>)</w:t>
      </w:r>
    </w:p>
    <w:p w14:paraId="1239A4B4" w14:textId="4C013FA2" w:rsidR="00745D0F" w:rsidRDefault="00745D0F" w:rsidP="008A12BB">
      <w:pPr>
        <w:pStyle w:val="BodyText"/>
      </w:pPr>
      <w:r>
        <w:t xml:space="preserve">The possibilities for performing link adaptation once a pattern is given are relatively limited. On the other hand, it is possible to configure a UE with multiple patterns, to be used depending on the size of the TB to be transmitted. The following </w:t>
      </w:r>
      <w:r w:rsidR="00EF4A52">
        <w:t>three lines of action may be considered</w:t>
      </w:r>
      <w:r>
        <w:t>:</w:t>
      </w:r>
    </w:p>
    <w:p w14:paraId="26DAB780" w14:textId="0CB85F57" w:rsidR="00745D0F" w:rsidRDefault="00745D0F" w:rsidP="00745D0F">
      <w:pPr>
        <w:pStyle w:val="BodyText"/>
        <w:numPr>
          <w:ilvl w:val="0"/>
          <w:numId w:val="25"/>
        </w:numPr>
      </w:pPr>
      <w:r>
        <w:t>Having patterns with different number of transmissions per TB</w:t>
      </w:r>
      <w:r w:rsidR="0093482F">
        <w:t xml:space="preserve"> (i.e., R)</w:t>
      </w:r>
      <w:r>
        <w:t>.</w:t>
      </w:r>
    </w:p>
    <w:p w14:paraId="6A70F205" w14:textId="4D4B0048" w:rsidR="00745D0F" w:rsidRDefault="00745D0F" w:rsidP="00745D0F">
      <w:pPr>
        <w:pStyle w:val="BodyText"/>
        <w:numPr>
          <w:ilvl w:val="0"/>
          <w:numId w:val="25"/>
        </w:numPr>
      </w:pPr>
      <w:r>
        <w:lastRenderedPageBreak/>
        <w:t xml:space="preserve">Having patterns with different number of slots </w:t>
      </w:r>
      <w:r w:rsidR="0093482F">
        <w:t>for each</w:t>
      </w:r>
      <w:r>
        <w:t xml:space="preserve"> transmission of </w:t>
      </w:r>
      <w:r w:rsidR="0093482F">
        <w:t xml:space="preserve">a </w:t>
      </w:r>
      <w:r>
        <w:t>TB</w:t>
      </w:r>
      <w:r w:rsidR="0093482F">
        <w:t xml:space="preserve"> (i.e., S)</w:t>
      </w:r>
      <w:r>
        <w:t>.</w:t>
      </w:r>
    </w:p>
    <w:p w14:paraId="4E6D340D" w14:textId="4D487080" w:rsidR="00745D0F" w:rsidRDefault="00745D0F" w:rsidP="00745D0F">
      <w:pPr>
        <w:pStyle w:val="BodyText"/>
        <w:numPr>
          <w:ilvl w:val="0"/>
          <w:numId w:val="25"/>
        </w:numPr>
      </w:pPr>
      <w:r>
        <w:t xml:space="preserve">Having patterns with different number of sub-bands </w:t>
      </w:r>
      <w:r w:rsidR="0093482F">
        <w:t>for each transmission of a TB (i.e., B)</w:t>
      </w:r>
    </w:p>
    <w:p w14:paraId="31DFFD2F" w14:textId="7FAE7752" w:rsidR="008A12BB" w:rsidRDefault="0093482F" w:rsidP="008A12BB">
      <w:pPr>
        <w:pStyle w:val="BodyText"/>
      </w:pPr>
      <w:r>
        <w:t>The first and the second options increase the exposure to problems derived from half-duplex constraints. The third option increases the probability of collision but has no</w:t>
      </w:r>
      <w:r w:rsidR="00AD5C7E">
        <w:t xml:space="preserve"> additional</w:t>
      </w:r>
      <w:r>
        <w:t xml:space="preserve"> half-duplex problems. </w:t>
      </w:r>
    </w:p>
    <w:p w14:paraId="72E68BF6" w14:textId="382A5ED8" w:rsidR="0093482F" w:rsidRDefault="0093482F" w:rsidP="0093482F">
      <w:pPr>
        <w:pStyle w:val="BodyText"/>
      </w:pPr>
      <w:r>
        <w:t>In our design, we have used the third approach. That is, UEs is the same scenario may use patterns with different values for B but the values of L, R, and S are the same.</w:t>
      </w:r>
    </w:p>
    <w:p w14:paraId="292636F0" w14:textId="05CBD27C" w:rsidR="00287838" w:rsidRPr="008E5F34" w:rsidRDefault="00AD5C7E" w:rsidP="00A04F49">
      <w:pPr>
        <w:pStyle w:val="Proposal"/>
      </w:pPr>
      <w:bookmarkStart w:id="6" w:name="_Toc534994153"/>
      <w:r w:rsidRPr="008E5F34">
        <w:t>Consider the above pattern designs for evaluation.</w:t>
      </w:r>
      <w:bookmarkEnd w:id="6"/>
    </w:p>
    <w:p w14:paraId="5300F849" w14:textId="08DAA74B" w:rsidR="00C01F33" w:rsidRPr="008E5F34" w:rsidRDefault="00C01F33" w:rsidP="00CE0424">
      <w:pPr>
        <w:pStyle w:val="Heading1"/>
      </w:pPr>
      <w:r w:rsidRPr="008E5F34">
        <w:t>Conclusion</w:t>
      </w:r>
    </w:p>
    <w:p w14:paraId="7AFEA5AA" w14:textId="77777777" w:rsidR="006E1C82" w:rsidRPr="008E5F34" w:rsidRDefault="008E065E" w:rsidP="006E1C82">
      <w:pPr>
        <w:pStyle w:val="BodyText"/>
      </w:pPr>
      <w:r w:rsidRPr="008E5F34">
        <w:t xml:space="preserve">Based on the discussion in </w:t>
      </w:r>
      <w:r w:rsidR="007729A2" w:rsidRPr="008E5F34">
        <w:t xml:space="preserve">the previous </w:t>
      </w:r>
      <w:r w:rsidRPr="008E5F34">
        <w:t>section</w:t>
      </w:r>
      <w:r w:rsidR="007729A2" w:rsidRPr="008E5F34">
        <w:t>s</w:t>
      </w:r>
      <w:r w:rsidRPr="008E5F34">
        <w:t xml:space="preserve"> we propose the following:</w:t>
      </w:r>
    </w:p>
    <w:p w14:paraId="2068B1E4" w14:textId="4014F16B" w:rsidR="00D70BD5" w:rsidRDefault="006E1C82">
      <w:pPr>
        <w:pStyle w:val="TableofFigures"/>
        <w:tabs>
          <w:tab w:val="right" w:leader="dot" w:pos="9629"/>
        </w:tabs>
        <w:rPr>
          <w:rFonts w:asciiTheme="minorHAnsi" w:eastAsiaTheme="minorEastAsia" w:hAnsiTheme="minorHAnsi" w:cstheme="minorBidi"/>
          <w:b w:val="0"/>
          <w:noProof/>
          <w:sz w:val="22"/>
          <w:szCs w:val="22"/>
          <w:lang w:val="en-150" w:eastAsia="en-150"/>
        </w:rPr>
      </w:pPr>
      <w:r w:rsidRPr="008E5F34">
        <w:rPr>
          <w:b w:val="0"/>
          <w:bCs/>
          <w:lang w:val="en-US"/>
        </w:rPr>
        <w:fldChar w:fldCharType="begin"/>
      </w:r>
      <w:r w:rsidRPr="008E5F34">
        <w:rPr>
          <w:b w:val="0"/>
          <w:bCs/>
          <w:lang w:val="en-US"/>
        </w:rPr>
        <w:instrText xml:space="preserve"> TOC \n \h \z \t "Proposal" \c </w:instrText>
      </w:r>
      <w:r w:rsidRPr="008E5F34">
        <w:rPr>
          <w:b w:val="0"/>
          <w:bCs/>
          <w:lang w:val="en-US"/>
        </w:rPr>
        <w:fldChar w:fldCharType="separate"/>
      </w:r>
      <w:hyperlink w:anchor="_Toc534994153" w:history="1">
        <w:r w:rsidR="00D70BD5" w:rsidRPr="00E97CF9">
          <w:rPr>
            <w:rStyle w:val="Hyperlink"/>
            <w:noProof/>
          </w:rPr>
          <w:t>Proposal 1</w:t>
        </w:r>
        <w:r w:rsidR="00D70BD5">
          <w:rPr>
            <w:rFonts w:asciiTheme="minorHAnsi" w:eastAsiaTheme="minorEastAsia" w:hAnsiTheme="minorHAnsi" w:cstheme="minorBidi"/>
            <w:b w:val="0"/>
            <w:noProof/>
            <w:sz w:val="22"/>
            <w:szCs w:val="22"/>
            <w:lang w:val="en-150" w:eastAsia="en-150"/>
          </w:rPr>
          <w:tab/>
        </w:r>
        <w:r w:rsidR="00D70BD5" w:rsidRPr="00E97CF9">
          <w:rPr>
            <w:rStyle w:val="Hyperlink"/>
            <w:noProof/>
          </w:rPr>
          <w:t>Consider the above pattern designs for evaluation.</w:t>
        </w:r>
      </w:hyperlink>
    </w:p>
    <w:p w14:paraId="7203AEF7" w14:textId="5B68E467" w:rsidR="00F507D1" w:rsidRPr="00CE0424" w:rsidRDefault="006E1C82" w:rsidP="00CE0424">
      <w:pPr>
        <w:pStyle w:val="Heading1"/>
      </w:pPr>
      <w:r w:rsidRPr="008E5F34">
        <w:rPr>
          <w:b/>
          <w:bCs/>
          <w:lang w:val="en-US"/>
        </w:rPr>
        <w:fldChar w:fldCharType="end"/>
      </w:r>
      <w:r w:rsidRPr="00CE0424">
        <w:rPr>
          <w:b/>
          <w:bCs/>
        </w:rPr>
        <w:t xml:space="preserve"> </w:t>
      </w:r>
      <w:bookmarkStart w:id="7" w:name="_In-sequence_SDU_delivery"/>
      <w:bookmarkEnd w:id="7"/>
      <w:r w:rsidR="00F507D1" w:rsidRPr="00CE0424">
        <w:t>References</w:t>
      </w:r>
    </w:p>
    <w:p w14:paraId="7C405148" w14:textId="620F3322" w:rsidR="000321B6" w:rsidRPr="008E5F34" w:rsidRDefault="00AD5C7E" w:rsidP="00AD5C7E">
      <w:pPr>
        <w:pStyle w:val="Reference"/>
      </w:pPr>
      <w:bookmarkStart w:id="8" w:name="_Ref534203877"/>
      <w:bookmarkStart w:id="9" w:name="_Ref174151459"/>
      <w:bookmarkStart w:id="10" w:name="_Ref189809556"/>
      <w:r w:rsidRPr="008E5F34">
        <w:t>R1-1901226 “System level evaluations of NR V2X sidelink</w:t>
      </w:r>
      <w:bookmarkEnd w:id="8"/>
      <w:r w:rsidRPr="008E5F34">
        <w:t>,” Ericsson, RAN1#AH1901, Jan 2019</w:t>
      </w:r>
    </w:p>
    <w:bookmarkEnd w:id="9"/>
    <w:bookmarkEnd w:id="10"/>
    <w:p w14:paraId="0034D3CC"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6B455" w14:textId="77777777" w:rsidR="00244BE0" w:rsidRDefault="00244BE0">
      <w:r>
        <w:separator/>
      </w:r>
    </w:p>
  </w:endnote>
  <w:endnote w:type="continuationSeparator" w:id="0">
    <w:p w14:paraId="2D58B5D5" w14:textId="77777777" w:rsidR="00244BE0" w:rsidRDefault="0024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C227A" w14:textId="77777777" w:rsidR="00244BE0" w:rsidRDefault="00244BE0">
      <w:r>
        <w:separator/>
      </w:r>
    </w:p>
  </w:footnote>
  <w:footnote w:type="continuationSeparator" w:id="0">
    <w:p w14:paraId="7662E77E" w14:textId="77777777" w:rsidR="00244BE0" w:rsidRDefault="00244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EE468C"/>
    <w:multiLevelType w:val="hybridMultilevel"/>
    <w:tmpl w:val="49548A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BE394B"/>
    <w:multiLevelType w:val="hybridMultilevel"/>
    <w:tmpl w:val="550E86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66313B2"/>
    <w:multiLevelType w:val="hybridMultilevel"/>
    <w:tmpl w:val="69A099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3"/>
  </w:num>
  <w:num w:numId="21">
    <w:abstractNumId w:val="12"/>
  </w:num>
  <w:num w:numId="22">
    <w:abstractNumId w:val="22"/>
  </w:num>
  <w:num w:numId="23">
    <w:abstractNumId w:val="4"/>
  </w:num>
  <w:num w:numId="24">
    <w:abstractNumId w:val="24"/>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1B6"/>
    <w:rsid w:val="000325B8"/>
    <w:rsid w:val="00034C15"/>
    <w:rsid w:val="00036BA1"/>
    <w:rsid w:val="000422E2"/>
    <w:rsid w:val="00042F22"/>
    <w:rsid w:val="000444EF"/>
    <w:rsid w:val="00052A07"/>
    <w:rsid w:val="000534E3"/>
    <w:rsid w:val="0005606A"/>
    <w:rsid w:val="00057117"/>
    <w:rsid w:val="000616E7"/>
    <w:rsid w:val="0006487E"/>
    <w:rsid w:val="00065E1A"/>
    <w:rsid w:val="00077E4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16C"/>
    <w:rsid w:val="000C7A1E"/>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AB5"/>
    <w:rsid w:val="00151E23"/>
    <w:rsid w:val="001526E0"/>
    <w:rsid w:val="001551B5"/>
    <w:rsid w:val="001659C1"/>
    <w:rsid w:val="00173A8E"/>
    <w:rsid w:val="0017502C"/>
    <w:rsid w:val="00180426"/>
    <w:rsid w:val="0018143F"/>
    <w:rsid w:val="00181FF8"/>
    <w:rsid w:val="0018284B"/>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41559"/>
    <w:rsid w:val="002435B3"/>
    <w:rsid w:val="00244BE0"/>
    <w:rsid w:val="002458EB"/>
    <w:rsid w:val="00247CC9"/>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1C37"/>
    <w:rsid w:val="00357380"/>
    <w:rsid w:val="00357AB0"/>
    <w:rsid w:val="003602D9"/>
    <w:rsid w:val="003604CE"/>
    <w:rsid w:val="00370E47"/>
    <w:rsid w:val="003742AC"/>
    <w:rsid w:val="00377CE1"/>
    <w:rsid w:val="00385BF0"/>
    <w:rsid w:val="003939FF"/>
    <w:rsid w:val="0039574B"/>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EB4"/>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0526"/>
    <w:rsid w:val="00441A92"/>
    <w:rsid w:val="004431DC"/>
    <w:rsid w:val="00444F56"/>
    <w:rsid w:val="00446488"/>
    <w:rsid w:val="004517AA"/>
    <w:rsid w:val="00452CAC"/>
    <w:rsid w:val="00454B93"/>
    <w:rsid w:val="00457565"/>
    <w:rsid w:val="00457B71"/>
    <w:rsid w:val="004669E2"/>
    <w:rsid w:val="00470C31"/>
    <w:rsid w:val="00470DE3"/>
    <w:rsid w:val="00471DE0"/>
    <w:rsid w:val="00471E8F"/>
    <w:rsid w:val="004734D0"/>
    <w:rsid w:val="0047556B"/>
    <w:rsid w:val="00477768"/>
    <w:rsid w:val="00486F1D"/>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6EF3"/>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1C05"/>
    <w:rsid w:val="005935A4"/>
    <w:rsid w:val="005948C2"/>
    <w:rsid w:val="00595DCA"/>
    <w:rsid w:val="0059779B"/>
    <w:rsid w:val="005A0A11"/>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D1C"/>
    <w:rsid w:val="006634E6"/>
    <w:rsid w:val="006655EE"/>
    <w:rsid w:val="00667EE7"/>
    <w:rsid w:val="00670922"/>
    <w:rsid w:val="00670BE1"/>
    <w:rsid w:val="006717E4"/>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48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2B37"/>
    <w:rsid w:val="007257D0"/>
    <w:rsid w:val="00726857"/>
    <w:rsid w:val="00726EA6"/>
    <w:rsid w:val="00727208"/>
    <w:rsid w:val="00727680"/>
    <w:rsid w:val="007348B1"/>
    <w:rsid w:val="00735454"/>
    <w:rsid w:val="007362A6"/>
    <w:rsid w:val="00736D7D"/>
    <w:rsid w:val="00740E58"/>
    <w:rsid w:val="007420B3"/>
    <w:rsid w:val="007445A0"/>
    <w:rsid w:val="0074524B"/>
    <w:rsid w:val="00745D0F"/>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007"/>
    <w:rsid w:val="007B3D2D"/>
    <w:rsid w:val="007B50AE"/>
    <w:rsid w:val="007B51DF"/>
    <w:rsid w:val="007C05DD"/>
    <w:rsid w:val="007C3D18"/>
    <w:rsid w:val="007C60BF"/>
    <w:rsid w:val="007C6A07"/>
    <w:rsid w:val="007C75A1"/>
    <w:rsid w:val="007C77A5"/>
    <w:rsid w:val="007D0282"/>
    <w:rsid w:val="007D04E5"/>
    <w:rsid w:val="007D5901"/>
    <w:rsid w:val="007D7526"/>
    <w:rsid w:val="007E4610"/>
    <w:rsid w:val="007E4715"/>
    <w:rsid w:val="007E505B"/>
    <w:rsid w:val="007E7091"/>
    <w:rsid w:val="00803FAE"/>
    <w:rsid w:val="0080605F"/>
    <w:rsid w:val="00807786"/>
    <w:rsid w:val="008103AF"/>
    <w:rsid w:val="00811FCB"/>
    <w:rsid w:val="008158D6"/>
    <w:rsid w:val="00817196"/>
    <w:rsid w:val="008235DB"/>
    <w:rsid w:val="00824AB4"/>
    <w:rsid w:val="00825C42"/>
    <w:rsid w:val="00825D25"/>
    <w:rsid w:val="00827D6F"/>
    <w:rsid w:val="00835F53"/>
    <w:rsid w:val="008376AC"/>
    <w:rsid w:val="00841A07"/>
    <w:rsid w:val="00843099"/>
    <w:rsid w:val="008444E8"/>
    <w:rsid w:val="00844E80"/>
    <w:rsid w:val="00846FE7"/>
    <w:rsid w:val="00856911"/>
    <w:rsid w:val="008677FD"/>
    <w:rsid w:val="008706D4"/>
    <w:rsid w:val="00870F8A"/>
    <w:rsid w:val="008719A4"/>
    <w:rsid w:val="00871D23"/>
    <w:rsid w:val="00872183"/>
    <w:rsid w:val="00874312"/>
    <w:rsid w:val="0087437C"/>
    <w:rsid w:val="00875CD7"/>
    <w:rsid w:val="00876B4D"/>
    <w:rsid w:val="00877F18"/>
    <w:rsid w:val="008941E3"/>
    <w:rsid w:val="00894A88"/>
    <w:rsid w:val="00895386"/>
    <w:rsid w:val="008A12B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F34"/>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27A"/>
    <w:rsid w:val="00931BD9"/>
    <w:rsid w:val="0093202E"/>
    <w:rsid w:val="0093482F"/>
    <w:rsid w:val="009368F3"/>
    <w:rsid w:val="00941636"/>
    <w:rsid w:val="00943742"/>
    <w:rsid w:val="00945C05"/>
    <w:rsid w:val="00946945"/>
    <w:rsid w:val="00947713"/>
    <w:rsid w:val="00950DE7"/>
    <w:rsid w:val="00953920"/>
    <w:rsid w:val="00953D47"/>
    <w:rsid w:val="0095505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0D2E"/>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9B4"/>
    <w:rsid w:val="00AD2ED0"/>
    <w:rsid w:val="00AD3F94"/>
    <w:rsid w:val="00AD4A5A"/>
    <w:rsid w:val="00AD5C7E"/>
    <w:rsid w:val="00AE27AC"/>
    <w:rsid w:val="00AE40E0"/>
    <w:rsid w:val="00AE4DBA"/>
    <w:rsid w:val="00AE4F07"/>
    <w:rsid w:val="00AF1C5D"/>
    <w:rsid w:val="00AF42D7"/>
    <w:rsid w:val="00B006FE"/>
    <w:rsid w:val="00B007CB"/>
    <w:rsid w:val="00B02AA9"/>
    <w:rsid w:val="00B02FA3"/>
    <w:rsid w:val="00B05084"/>
    <w:rsid w:val="00B119A2"/>
    <w:rsid w:val="00B157F9"/>
    <w:rsid w:val="00B16987"/>
    <w:rsid w:val="00B20256"/>
    <w:rsid w:val="00B20D09"/>
    <w:rsid w:val="00B2763F"/>
    <w:rsid w:val="00B27AAC"/>
    <w:rsid w:val="00B30929"/>
    <w:rsid w:val="00B31D04"/>
    <w:rsid w:val="00B372AA"/>
    <w:rsid w:val="00B40445"/>
    <w:rsid w:val="00B409E0"/>
    <w:rsid w:val="00B41888"/>
    <w:rsid w:val="00B45A52"/>
    <w:rsid w:val="00B46175"/>
    <w:rsid w:val="00B548B7"/>
    <w:rsid w:val="00B579B4"/>
    <w:rsid w:val="00B664C7"/>
    <w:rsid w:val="00B739F6"/>
    <w:rsid w:val="00B81A6C"/>
    <w:rsid w:val="00B85DE5"/>
    <w:rsid w:val="00B90F73"/>
    <w:rsid w:val="00B93B59"/>
    <w:rsid w:val="00B9406A"/>
    <w:rsid w:val="00BA2280"/>
    <w:rsid w:val="00BA2A08"/>
    <w:rsid w:val="00BA56D2"/>
    <w:rsid w:val="00BA76E0"/>
    <w:rsid w:val="00BB10A7"/>
    <w:rsid w:val="00BB2A25"/>
    <w:rsid w:val="00BB4A33"/>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6C97"/>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1E99"/>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0BD5"/>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44F"/>
    <w:rsid w:val="00E54E3B"/>
    <w:rsid w:val="00E5754F"/>
    <w:rsid w:val="00E57565"/>
    <w:rsid w:val="00E63838"/>
    <w:rsid w:val="00E64434"/>
    <w:rsid w:val="00E67C51"/>
    <w:rsid w:val="00E72EFC"/>
    <w:rsid w:val="00E758EC"/>
    <w:rsid w:val="00E8234C"/>
    <w:rsid w:val="00E83AA9"/>
    <w:rsid w:val="00E85928"/>
    <w:rsid w:val="00E8754F"/>
    <w:rsid w:val="00E87822"/>
    <w:rsid w:val="00E90395"/>
    <w:rsid w:val="00E90E49"/>
    <w:rsid w:val="00E90E7F"/>
    <w:rsid w:val="00E917F9"/>
    <w:rsid w:val="00E9291C"/>
    <w:rsid w:val="00E93FFE"/>
    <w:rsid w:val="00E94912"/>
    <w:rsid w:val="00E94F8A"/>
    <w:rsid w:val="00EA7A41"/>
    <w:rsid w:val="00EB077B"/>
    <w:rsid w:val="00EB192C"/>
    <w:rsid w:val="00EB4EA2"/>
    <w:rsid w:val="00EC24D5"/>
    <w:rsid w:val="00EC27C6"/>
    <w:rsid w:val="00EC3883"/>
    <w:rsid w:val="00EC4207"/>
    <w:rsid w:val="00EC5653"/>
    <w:rsid w:val="00EC71CE"/>
    <w:rsid w:val="00ED1006"/>
    <w:rsid w:val="00EF18FE"/>
    <w:rsid w:val="00EF4A52"/>
    <w:rsid w:val="00EF5787"/>
    <w:rsid w:val="00EF60D0"/>
    <w:rsid w:val="00F0528D"/>
    <w:rsid w:val="00F06C67"/>
    <w:rsid w:val="00F06DFD"/>
    <w:rsid w:val="00F071D1"/>
    <w:rsid w:val="00F07533"/>
    <w:rsid w:val="00F10629"/>
    <w:rsid w:val="00F15FA5"/>
    <w:rsid w:val="00F209B7"/>
    <w:rsid w:val="00F2376F"/>
    <w:rsid w:val="00F243D8"/>
    <w:rsid w:val="00F30828"/>
    <w:rsid w:val="00F308E4"/>
    <w:rsid w:val="00F313D6"/>
    <w:rsid w:val="00F40F0C"/>
    <w:rsid w:val="00F4766C"/>
    <w:rsid w:val="00F5060E"/>
    <w:rsid w:val="00F507D1"/>
    <w:rsid w:val="00F519CE"/>
    <w:rsid w:val="00F51ADA"/>
    <w:rsid w:val="00F60203"/>
    <w:rsid w:val="00F607C5"/>
    <w:rsid w:val="00F60DEA"/>
    <w:rsid w:val="00F6302A"/>
    <w:rsid w:val="00F63950"/>
    <w:rsid w:val="00F639E8"/>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DA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3F274-F949-4858-9813-B7C8B2249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769</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2019-01-11T17:20:00Z</dcterms:created>
  <dcterms:modified xsi:type="dcterms:W3CDTF">2019-01-11T17:20:00Z</dcterms:modified>
  <cp:category/>
</cp:coreProperties>
</file>